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49D7" w:rsidRDefault="001949D7" w:rsidP="001949D7">
      <w:pPr>
        <w:rPr>
          <w:lang w:val="en"/>
        </w:rPr>
      </w:pPr>
      <w:r w:rsidRPr="001949D7">
        <w:rPr>
          <w:lang w:val="en"/>
        </w:rPr>
        <w:t xml:space="preserve">In-Progress (Incomplete) Grade Policy </w:t>
      </w:r>
    </w:p>
    <w:p w:rsidR="0026182F" w:rsidRPr="0023781D" w:rsidRDefault="0023781D" w:rsidP="0023781D">
      <w:pPr>
        <w:numPr>
          <w:ilvl w:val="0"/>
          <w:numId w:val="5"/>
        </w:numPr>
      </w:pPr>
      <w:r w:rsidRPr="0023781D">
        <w:t>An in-progress (incomplete) grade (“I”) is a temporary grade that may be assigned at the discretion of the instructor if the student has successfully completed 75% or more of the course requirements and has encountered unusual or unforeseen circumstances which prevent them from completing the course requirements by the end of the term.  The rules and procedures governing “I” grades are outlined below.</w:t>
      </w:r>
    </w:p>
    <w:p w:rsidR="0026182F" w:rsidRPr="0023781D" w:rsidRDefault="0023781D" w:rsidP="0023781D">
      <w:pPr>
        <w:numPr>
          <w:ilvl w:val="0"/>
          <w:numId w:val="6"/>
        </w:numPr>
        <w:tabs>
          <w:tab w:val="left" w:pos="720"/>
        </w:tabs>
      </w:pPr>
      <w:r w:rsidRPr="0023781D">
        <w:t>The final decision about what constitutes 75% rests with the instructor based upon a discussion initiated by the student</w:t>
      </w:r>
    </w:p>
    <w:p w:rsidR="0026182F" w:rsidRPr="0023781D" w:rsidRDefault="0023781D" w:rsidP="0023781D">
      <w:pPr>
        <w:numPr>
          <w:ilvl w:val="0"/>
          <w:numId w:val="6"/>
        </w:numPr>
        <w:tabs>
          <w:tab w:val="left" w:pos="720"/>
        </w:tabs>
      </w:pPr>
      <w:r w:rsidRPr="0023781D">
        <w:t>No student automatically qualifies for an “I” grade — the decision is made by the instructor on an individual basis</w:t>
      </w:r>
    </w:p>
    <w:p w:rsidR="0026182F" w:rsidRPr="0023781D" w:rsidRDefault="0023781D" w:rsidP="0023781D">
      <w:pPr>
        <w:numPr>
          <w:ilvl w:val="0"/>
          <w:numId w:val="6"/>
        </w:numPr>
        <w:tabs>
          <w:tab w:val="left" w:pos="720"/>
        </w:tabs>
      </w:pPr>
      <w:r w:rsidRPr="0023781D">
        <w:t>Some programs prohibit the use of “I” grades in Term I and for students on “high potential,” “two course review” and “four-course review” admission statuses</w:t>
      </w:r>
    </w:p>
    <w:p w:rsidR="0023781D" w:rsidRDefault="0023781D" w:rsidP="004F0885">
      <w:pPr>
        <w:numPr>
          <w:ilvl w:val="0"/>
          <w:numId w:val="6"/>
        </w:numPr>
        <w:tabs>
          <w:tab w:val="left" w:pos="720"/>
        </w:tabs>
      </w:pPr>
      <w:r>
        <w:t>Faculty are encouraged to submit</w:t>
      </w:r>
      <w:r w:rsidRPr="0023781D">
        <w:t xml:space="preserve"> an online in-progress contract to be completed by the instructor to document the details for completion of the course requirements.  </w:t>
      </w:r>
    </w:p>
    <w:p w:rsidR="0026182F" w:rsidRPr="0023781D" w:rsidRDefault="0023781D" w:rsidP="004F0885">
      <w:pPr>
        <w:numPr>
          <w:ilvl w:val="0"/>
          <w:numId w:val="6"/>
        </w:numPr>
        <w:tabs>
          <w:tab w:val="left" w:pos="720"/>
        </w:tabs>
      </w:pPr>
      <w:r w:rsidRPr="0023781D">
        <w:t>The student is expected to complete the work in-progress no later than 90 days following the last day of the in-progress course.  The faculty member may set an earlier required completion date at their discretion.</w:t>
      </w:r>
    </w:p>
    <w:p w:rsidR="0023781D" w:rsidRPr="0023781D" w:rsidRDefault="0023781D" w:rsidP="00735F59">
      <w:pPr>
        <w:numPr>
          <w:ilvl w:val="0"/>
          <w:numId w:val="6"/>
        </w:numPr>
        <w:tabs>
          <w:tab w:val="left" w:pos="720"/>
        </w:tabs>
        <w:rPr>
          <w:lang w:val="en"/>
        </w:rPr>
      </w:pPr>
      <w:r w:rsidRPr="0023781D">
        <w:t>The faculty member must include a Provisional Grade to be assigned at the time of submitting the in-progress contract.  All “I” grades will lapse to this grade if the coursework is not completed within the specif</w:t>
      </w:r>
      <w:r>
        <w:t>ied time period, up to 90 days.</w:t>
      </w:r>
      <w:r w:rsidRPr="0023781D">
        <w:t xml:space="preserve"> </w:t>
      </w:r>
    </w:p>
    <w:p w:rsidR="0094588E" w:rsidRPr="0023781D" w:rsidRDefault="0094588E" w:rsidP="0094588E">
      <w:pPr>
        <w:pStyle w:val="ListParagraph"/>
        <w:numPr>
          <w:ilvl w:val="0"/>
          <w:numId w:val="3"/>
        </w:numPr>
        <w:rPr>
          <w:lang w:val="en"/>
        </w:rPr>
      </w:pPr>
      <w:r w:rsidRPr="0023781D">
        <w:t>In the event that the original instructor is no longer available to grade the work, the Department Chair, where applicable, or the Associate Dean will identify the faculty member who will resolve the incomplete.</w:t>
      </w:r>
    </w:p>
    <w:p w:rsidR="001949D7" w:rsidRPr="0094588E" w:rsidRDefault="001949D7" w:rsidP="006D484A">
      <w:pPr>
        <w:numPr>
          <w:ilvl w:val="0"/>
          <w:numId w:val="1"/>
        </w:numPr>
        <w:rPr>
          <w:lang w:val="en"/>
        </w:rPr>
      </w:pPr>
      <w:r w:rsidRPr="0094588E">
        <w:rPr>
          <w:lang w:val="en"/>
        </w:rPr>
        <w:t xml:space="preserve">“I” grades are prohibited in the following teacher preparation courses, if the Student Teaching experience must be repeated: </w:t>
      </w:r>
      <w:hyperlink r:id="rId7" w:history="1">
        <w:r w:rsidRPr="0094588E">
          <w:rPr>
            <w:rStyle w:val="Hyperlink"/>
            <w:lang w:val="en"/>
          </w:rPr>
          <w:t>ECE470</w:t>
        </w:r>
      </w:hyperlink>
      <w:r w:rsidRPr="0094588E">
        <w:rPr>
          <w:lang w:val="en"/>
        </w:rPr>
        <w:t xml:space="preserve">, </w:t>
      </w:r>
      <w:hyperlink r:id="rId8" w:history="1">
        <w:r w:rsidRPr="0094588E">
          <w:rPr>
            <w:rStyle w:val="Hyperlink"/>
            <w:lang w:val="en"/>
          </w:rPr>
          <w:t>ECE 590</w:t>
        </w:r>
      </w:hyperlink>
      <w:r w:rsidRPr="0094588E">
        <w:rPr>
          <w:lang w:val="en"/>
        </w:rPr>
        <w:t xml:space="preserve">, </w:t>
      </w:r>
      <w:hyperlink r:id="rId9" w:history="1">
        <w:r w:rsidRPr="0094588E">
          <w:rPr>
            <w:rStyle w:val="Hyperlink"/>
            <w:lang w:val="en"/>
          </w:rPr>
          <w:t>ELE 470A</w:t>
        </w:r>
      </w:hyperlink>
      <w:r w:rsidRPr="0094588E">
        <w:rPr>
          <w:lang w:val="en"/>
        </w:rPr>
        <w:t xml:space="preserve">, </w:t>
      </w:r>
      <w:hyperlink r:id="rId10" w:history="1">
        <w:r w:rsidRPr="0094588E">
          <w:rPr>
            <w:rStyle w:val="Hyperlink"/>
            <w:lang w:val="en"/>
          </w:rPr>
          <w:t>ELE 470B</w:t>
        </w:r>
      </w:hyperlink>
      <w:r w:rsidRPr="0094588E">
        <w:rPr>
          <w:lang w:val="en"/>
        </w:rPr>
        <w:t xml:space="preserve">, </w:t>
      </w:r>
      <w:hyperlink r:id="rId11" w:history="1">
        <w:r w:rsidRPr="0094588E">
          <w:rPr>
            <w:rStyle w:val="Hyperlink"/>
            <w:lang w:val="en"/>
          </w:rPr>
          <w:t>ELE 590</w:t>
        </w:r>
      </w:hyperlink>
      <w:r w:rsidRPr="0094588E">
        <w:rPr>
          <w:lang w:val="en"/>
        </w:rPr>
        <w:t xml:space="preserve">, </w:t>
      </w:r>
      <w:hyperlink r:id="rId12" w:history="1">
        <w:r w:rsidRPr="0094588E">
          <w:rPr>
            <w:rStyle w:val="Hyperlink"/>
            <w:lang w:val="en"/>
          </w:rPr>
          <w:t>ELE 597</w:t>
        </w:r>
      </w:hyperlink>
      <w:r w:rsidRPr="0094588E">
        <w:rPr>
          <w:lang w:val="en"/>
        </w:rPr>
        <w:t xml:space="preserve">, </w:t>
      </w:r>
      <w:hyperlink r:id="rId13" w:history="1">
        <w:r w:rsidRPr="0094588E">
          <w:rPr>
            <w:rStyle w:val="Hyperlink"/>
            <w:lang w:val="en"/>
          </w:rPr>
          <w:t>MGE 590</w:t>
        </w:r>
      </w:hyperlink>
      <w:r w:rsidRPr="0094588E">
        <w:rPr>
          <w:lang w:val="en"/>
        </w:rPr>
        <w:t xml:space="preserve">, </w:t>
      </w:r>
      <w:hyperlink r:id="rId14" w:history="1">
        <w:r w:rsidRPr="0094588E">
          <w:rPr>
            <w:rStyle w:val="Hyperlink"/>
            <w:lang w:val="en"/>
          </w:rPr>
          <w:t>MGE 597</w:t>
        </w:r>
      </w:hyperlink>
      <w:r w:rsidRPr="0094588E">
        <w:rPr>
          <w:lang w:val="en"/>
        </w:rPr>
        <w:t>, </w:t>
      </w:r>
      <w:hyperlink r:id="rId15" w:history="1">
        <w:r w:rsidRPr="0094588E">
          <w:rPr>
            <w:rStyle w:val="Hyperlink"/>
            <w:lang w:val="en"/>
          </w:rPr>
          <w:t>SEC 590A</w:t>
        </w:r>
      </w:hyperlink>
      <w:r w:rsidRPr="0094588E">
        <w:rPr>
          <w:lang w:val="en"/>
        </w:rPr>
        <w:t xml:space="preserve">-F, </w:t>
      </w:r>
      <w:hyperlink r:id="rId16" w:history="1">
        <w:r w:rsidRPr="0094588E">
          <w:rPr>
            <w:rStyle w:val="Hyperlink"/>
            <w:lang w:val="en"/>
          </w:rPr>
          <w:t>SPE 470</w:t>
        </w:r>
      </w:hyperlink>
      <w:r w:rsidRPr="0094588E">
        <w:rPr>
          <w:lang w:val="en"/>
        </w:rPr>
        <w:t xml:space="preserve">, </w:t>
      </w:r>
      <w:hyperlink r:id="rId17" w:history="1">
        <w:r w:rsidRPr="0094588E">
          <w:rPr>
            <w:rStyle w:val="Hyperlink"/>
            <w:lang w:val="en"/>
          </w:rPr>
          <w:t>SPE587</w:t>
        </w:r>
      </w:hyperlink>
      <w:r w:rsidRPr="0094588E">
        <w:rPr>
          <w:lang w:val="en"/>
        </w:rPr>
        <w:t xml:space="preserve"> and </w:t>
      </w:r>
      <w:hyperlink r:id="rId18" w:history="1">
        <w:r w:rsidRPr="0094588E">
          <w:rPr>
            <w:rStyle w:val="Hyperlink"/>
            <w:lang w:val="en"/>
          </w:rPr>
          <w:t>SPE 592C</w:t>
        </w:r>
      </w:hyperlink>
      <w:r w:rsidR="0094588E">
        <w:t xml:space="preserve">. </w:t>
      </w:r>
      <w:r w:rsidRPr="0094588E">
        <w:rPr>
          <w:lang w:val="en"/>
        </w:rPr>
        <w:t>If candidates need to repeat the Student Teaching Experience, they will be required to withdraw from the Student Teaching Course in which they are registered and register for a new experience, when ready, with the approval of the program faculty and Director of Teacher Preparation</w:t>
      </w:r>
    </w:p>
    <w:p w:rsidR="001949D7" w:rsidRPr="001949D7" w:rsidRDefault="001949D7" w:rsidP="001949D7">
      <w:pPr>
        <w:rPr>
          <w:lang w:val="en"/>
        </w:rPr>
      </w:pPr>
      <w:r w:rsidRPr="001949D7">
        <w:rPr>
          <w:lang w:val="en"/>
        </w:rPr>
        <w:t xml:space="preserve">In the case of exceptional circumstances, a student may follow the steps outlined below to request a one-time only 275-day In-Progress Extension. </w:t>
      </w:r>
    </w:p>
    <w:p w:rsidR="001949D7" w:rsidRDefault="001949D7" w:rsidP="001949D7">
      <w:pPr>
        <w:numPr>
          <w:ilvl w:val="0"/>
          <w:numId w:val="2"/>
        </w:numPr>
        <w:rPr>
          <w:lang w:val="en"/>
        </w:rPr>
      </w:pPr>
      <w:r w:rsidRPr="001949D7">
        <w:rPr>
          <w:lang w:val="en"/>
        </w:rPr>
        <w:t>It is the student’s responsibility to contact the instructor (or the associate dean, should the instructor be unavailable) who granted the “I” grade at least 30 days prior to the end of the 90-day time limit</w:t>
      </w:r>
    </w:p>
    <w:p w:rsidR="001949D7" w:rsidRPr="001949D7" w:rsidRDefault="001949D7" w:rsidP="001949D7">
      <w:pPr>
        <w:numPr>
          <w:ilvl w:val="0"/>
          <w:numId w:val="2"/>
        </w:numPr>
        <w:rPr>
          <w:lang w:val="en"/>
        </w:rPr>
      </w:pPr>
      <w:r w:rsidRPr="001949D7">
        <w:rPr>
          <w:lang w:val="en"/>
        </w:rPr>
        <w:t>With the instructor’s or associate dean’s signature and support, the student must make a formal request to the appropriate college academic appeals committee, including a letter and documentation of the exceptional circumstances that may warrant an extension</w:t>
      </w:r>
    </w:p>
    <w:p w:rsidR="001949D7" w:rsidRPr="001949D7" w:rsidRDefault="001949D7" w:rsidP="001949D7">
      <w:pPr>
        <w:numPr>
          <w:ilvl w:val="0"/>
          <w:numId w:val="2"/>
        </w:numPr>
        <w:rPr>
          <w:lang w:val="en"/>
        </w:rPr>
      </w:pPr>
      <w:r w:rsidRPr="001949D7">
        <w:rPr>
          <w:lang w:val="en"/>
        </w:rPr>
        <w:lastRenderedPageBreak/>
        <w:t>If an extension is to be granted, it must be formalized before the end of the 90-day time limit</w:t>
      </w:r>
    </w:p>
    <w:p w:rsidR="0023781D" w:rsidRDefault="0023781D" w:rsidP="001949D7">
      <w:pPr>
        <w:rPr>
          <w:iCs/>
          <w:color w:val="FF0000"/>
          <w:lang w:val="en"/>
        </w:rPr>
      </w:pPr>
    </w:p>
    <w:p w:rsidR="003262C2" w:rsidRDefault="003262C2">
      <w:bookmarkStart w:id="0" w:name="_GoBack"/>
      <w:bookmarkEnd w:id="0"/>
    </w:p>
    <w:sectPr w:rsidR="003262C2">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2C51" w:rsidRDefault="00A42C51" w:rsidP="00A42C51">
      <w:pPr>
        <w:spacing w:after="0" w:line="240" w:lineRule="auto"/>
      </w:pPr>
      <w:r>
        <w:separator/>
      </w:r>
    </w:p>
  </w:endnote>
  <w:endnote w:type="continuationSeparator" w:id="0">
    <w:p w:rsidR="00A42C51" w:rsidRDefault="00A42C51" w:rsidP="00A42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51" w:rsidRDefault="00A42C5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51" w:rsidRDefault="00A42C51">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51" w:rsidRDefault="00A42C5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2C51" w:rsidRDefault="00A42C51" w:rsidP="00A42C51">
      <w:pPr>
        <w:spacing w:after="0" w:line="240" w:lineRule="auto"/>
      </w:pPr>
      <w:r>
        <w:separator/>
      </w:r>
    </w:p>
  </w:footnote>
  <w:footnote w:type="continuationSeparator" w:id="0">
    <w:p w:rsidR="00A42C51" w:rsidRDefault="00A42C51" w:rsidP="00A42C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51" w:rsidRDefault="00A42C5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51" w:rsidRDefault="00A42C51">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51" w:rsidRDefault="00A42C5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FC649B"/>
    <w:multiLevelType w:val="hybridMultilevel"/>
    <w:tmpl w:val="AD94A75C"/>
    <w:lvl w:ilvl="0" w:tplc="2876C252">
      <w:start w:val="1"/>
      <w:numFmt w:val="bullet"/>
      <w:lvlText w:val="•"/>
      <w:lvlJc w:val="left"/>
      <w:pPr>
        <w:tabs>
          <w:tab w:val="num" w:pos="360"/>
        </w:tabs>
        <w:ind w:left="360" w:hanging="360"/>
      </w:pPr>
      <w:rPr>
        <w:rFonts w:ascii="Arial" w:hAnsi="Arial" w:hint="default"/>
      </w:rPr>
    </w:lvl>
    <w:lvl w:ilvl="1" w:tplc="51FA7A62" w:tentative="1">
      <w:start w:val="1"/>
      <w:numFmt w:val="bullet"/>
      <w:lvlText w:val="•"/>
      <w:lvlJc w:val="left"/>
      <w:pPr>
        <w:tabs>
          <w:tab w:val="num" w:pos="1080"/>
        </w:tabs>
        <w:ind w:left="1080" w:hanging="360"/>
      </w:pPr>
      <w:rPr>
        <w:rFonts w:ascii="Arial" w:hAnsi="Arial" w:hint="default"/>
      </w:rPr>
    </w:lvl>
    <w:lvl w:ilvl="2" w:tplc="8BC2FFCA" w:tentative="1">
      <w:start w:val="1"/>
      <w:numFmt w:val="bullet"/>
      <w:lvlText w:val="•"/>
      <w:lvlJc w:val="left"/>
      <w:pPr>
        <w:tabs>
          <w:tab w:val="num" w:pos="1800"/>
        </w:tabs>
        <w:ind w:left="1800" w:hanging="360"/>
      </w:pPr>
      <w:rPr>
        <w:rFonts w:ascii="Arial" w:hAnsi="Arial" w:hint="default"/>
      </w:rPr>
    </w:lvl>
    <w:lvl w:ilvl="3" w:tplc="872C4062" w:tentative="1">
      <w:start w:val="1"/>
      <w:numFmt w:val="bullet"/>
      <w:lvlText w:val="•"/>
      <w:lvlJc w:val="left"/>
      <w:pPr>
        <w:tabs>
          <w:tab w:val="num" w:pos="2520"/>
        </w:tabs>
        <w:ind w:left="2520" w:hanging="360"/>
      </w:pPr>
      <w:rPr>
        <w:rFonts w:ascii="Arial" w:hAnsi="Arial" w:hint="default"/>
      </w:rPr>
    </w:lvl>
    <w:lvl w:ilvl="4" w:tplc="5B924FA4" w:tentative="1">
      <w:start w:val="1"/>
      <w:numFmt w:val="bullet"/>
      <w:lvlText w:val="•"/>
      <w:lvlJc w:val="left"/>
      <w:pPr>
        <w:tabs>
          <w:tab w:val="num" w:pos="3240"/>
        </w:tabs>
        <w:ind w:left="3240" w:hanging="360"/>
      </w:pPr>
      <w:rPr>
        <w:rFonts w:ascii="Arial" w:hAnsi="Arial" w:hint="default"/>
      </w:rPr>
    </w:lvl>
    <w:lvl w:ilvl="5" w:tplc="BB50A5DC" w:tentative="1">
      <w:start w:val="1"/>
      <w:numFmt w:val="bullet"/>
      <w:lvlText w:val="•"/>
      <w:lvlJc w:val="left"/>
      <w:pPr>
        <w:tabs>
          <w:tab w:val="num" w:pos="3960"/>
        </w:tabs>
        <w:ind w:left="3960" w:hanging="360"/>
      </w:pPr>
      <w:rPr>
        <w:rFonts w:ascii="Arial" w:hAnsi="Arial" w:hint="default"/>
      </w:rPr>
    </w:lvl>
    <w:lvl w:ilvl="6" w:tplc="6980B66E" w:tentative="1">
      <w:start w:val="1"/>
      <w:numFmt w:val="bullet"/>
      <w:lvlText w:val="•"/>
      <w:lvlJc w:val="left"/>
      <w:pPr>
        <w:tabs>
          <w:tab w:val="num" w:pos="4680"/>
        </w:tabs>
        <w:ind w:left="4680" w:hanging="360"/>
      </w:pPr>
      <w:rPr>
        <w:rFonts w:ascii="Arial" w:hAnsi="Arial" w:hint="default"/>
      </w:rPr>
    </w:lvl>
    <w:lvl w:ilvl="7" w:tplc="21D8B8D8" w:tentative="1">
      <w:start w:val="1"/>
      <w:numFmt w:val="bullet"/>
      <w:lvlText w:val="•"/>
      <w:lvlJc w:val="left"/>
      <w:pPr>
        <w:tabs>
          <w:tab w:val="num" w:pos="5400"/>
        </w:tabs>
        <w:ind w:left="5400" w:hanging="360"/>
      </w:pPr>
      <w:rPr>
        <w:rFonts w:ascii="Arial" w:hAnsi="Arial" w:hint="default"/>
      </w:rPr>
    </w:lvl>
    <w:lvl w:ilvl="8" w:tplc="C3AAEC82" w:tentative="1">
      <w:start w:val="1"/>
      <w:numFmt w:val="bullet"/>
      <w:lvlText w:val="•"/>
      <w:lvlJc w:val="left"/>
      <w:pPr>
        <w:tabs>
          <w:tab w:val="num" w:pos="6120"/>
        </w:tabs>
        <w:ind w:left="6120" w:hanging="360"/>
      </w:pPr>
      <w:rPr>
        <w:rFonts w:ascii="Arial" w:hAnsi="Arial" w:hint="default"/>
      </w:rPr>
    </w:lvl>
  </w:abstractNum>
  <w:abstractNum w:abstractNumId="1" w15:restartNumberingAfterBreak="0">
    <w:nsid w:val="221703AF"/>
    <w:multiLevelType w:val="multilevel"/>
    <w:tmpl w:val="211A3C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CC358B"/>
    <w:multiLevelType w:val="multilevel"/>
    <w:tmpl w:val="41F013A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AE0A8D"/>
    <w:multiLevelType w:val="hybridMultilevel"/>
    <w:tmpl w:val="F7E0F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000879"/>
    <w:multiLevelType w:val="multilevel"/>
    <w:tmpl w:val="5588A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BE770E"/>
    <w:multiLevelType w:val="hybridMultilevel"/>
    <w:tmpl w:val="43601E44"/>
    <w:lvl w:ilvl="0" w:tplc="96F01872">
      <w:start w:val="1"/>
      <w:numFmt w:val="bullet"/>
      <w:lvlText w:val=""/>
      <w:lvlJc w:val="left"/>
      <w:pPr>
        <w:tabs>
          <w:tab w:val="num" w:pos="720"/>
        </w:tabs>
        <w:ind w:left="720" w:hanging="360"/>
      </w:pPr>
      <w:rPr>
        <w:rFonts w:ascii="Symbol" w:hAnsi="Symbol" w:hint="default"/>
      </w:rPr>
    </w:lvl>
    <w:lvl w:ilvl="1" w:tplc="41DE32E2" w:tentative="1">
      <w:start w:val="1"/>
      <w:numFmt w:val="bullet"/>
      <w:lvlText w:val=""/>
      <w:lvlJc w:val="left"/>
      <w:pPr>
        <w:tabs>
          <w:tab w:val="num" w:pos="1440"/>
        </w:tabs>
        <w:ind w:left="1440" w:hanging="360"/>
      </w:pPr>
      <w:rPr>
        <w:rFonts w:ascii="Symbol" w:hAnsi="Symbol" w:hint="default"/>
      </w:rPr>
    </w:lvl>
    <w:lvl w:ilvl="2" w:tplc="4E3A599A" w:tentative="1">
      <w:start w:val="1"/>
      <w:numFmt w:val="bullet"/>
      <w:lvlText w:val=""/>
      <w:lvlJc w:val="left"/>
      <w:pPr>
        <w:tabs>
          <w:tab w:val="num" w:pos="2160"/>
        </w:tabs>
        <w:ind w:left="2160" w:hanging="360"/>
      </w:pPr>
      <w:rPr>
        <w:rFonts w:ascii="Symbol" w:hAnsi="Symbol" w:hint="default"/>
      </w:rPr>
    </w:lvl>
    <w:lvl w:ilvl="3" w:tplc="F20AF408" w:tentative="1">
      <w:start w:val="1"/>
      <w:numFmt w:val="bullet"/>
      <w:lvlText w:val=""/>
      <w:lvlJc w:val="left"/>
      <w:pPr>
        <w:tabs>
          <w:tab w:val="num" w:pos="2880"/>
        </w:tabs>
        <w:ind w:left="2880" w:hanging="360"/>
      </w:pPr>
      <w:rPr>
        <w:rFonts w:ascii="Symbol" w:hAnsi="Symbol" w:hint="default"/>
      </w:rPr>
    </w:lvl>
    <w:lvl w:ilvl="4" w:tplc="740EB0FC" w:tentative="1">
      <w:start w:val="1"/>
      <w:numFmt w:val="bullet"/>
      <w:lvlText w:val=""/>
      <w:lvlJc w:val="left"/>
      <w:pPr>
        <w:tabs>
          <w:tab w:val="num" w:pos="3600"/>
        </w:tabs>
        <w:ind w:left="3600" w:hanging="360"/>
      </w:pPr>
      <w:rPr>
        <w:rFonts w:ascii="Symbol" w:hAnsi="Symbol" w:hint="default"/>
      </w:rPr>
    </w:lvl>
    <w:lvl w:ilvl="5" w:tplc="2A740310" w:tentative="1">
      <w:start w:val="1"/>
      <w:numFmt w:val="bullet"/>
      <w:lvlText w:val=""/>
      <w:lvlJc w:val="left"/>
      <w:pPr>
        <w:tabs>
          <w:tab w:val="num" w:pos="4320"/>
        </w:tabs>
        <w:ind w:left="4320" w:hanging="360"/>
      </w:pPr>
      <w:rPr>
        <w:rFonts w:ascii="Symbol" w:hAnsi="Symbol" w:hint="default"/>
      </w:rPr>
    </w:lvl>
    <w:lvl w:ilvl="6" w:tplc="C15C9FE2" w:tentative="1">
      <w:start w:val="1"/>
      <w:numFmt w:val="bullet"/>
      <w:lvlText w:val=""/>
      <w:lvlJc w:val="left"/>
      <w:pPr>
        <w:tabs>
          <w:tab w:val="num" w:pos="5040"/>
        </w:tabs>
        <w:ind w:left="5040" w:hanging="360"/>
      </w:pPr>
      <w:rPr>
        <w:rFonts w:ascii="Symbol" w:hAnsi="Symbol" w:hint="default"/>
      </w:rPr>
    </w:lvl>
    <w:lvl w:ilvl="7" w:tplc="0A6AC3D6" w:tentative="1">
      <w:start w:val="1"/>
      <w:numFmt w:val="bullet"/>
      <w:lvlText w:val=""/>
      <w:lvlJc w:val="left"/>
      <w:pPr>
        <w:tabs>
          <w:tab w:val="num" w:pos="5760"/>
        </w:tabs>
        <w:ind w:left="5760" w:hanging="360"/>
      </w:pPr>
      <w:rPr>
        <w:rFonts w:ascii="Symbol" w:hAnsi="Symbol" w:hint="default"/>
      </w:rPr>
    </w:lvl>
    <w:lvl w:ilvl="8" w:tplc="925EB544" w:tentative="1">
      <w:start w:val="1"/>
      <w:numFmt w:val="bullet"/>
      <w:lvlText w:val=""/>
      <w:lvlJc w:val="left"/>
      <w:pPr>
        <w:tabs>
          <w:tab w:val="num" w:pos="6480"/>
        </w:tabs>
        <w:ind w:left="6480" w:hanging="360"/>
      </w:pPr>
      <w:rPr>
        <w:rFonts w:ascii="Symbol" w:hAnsi="Symbol" w:hint="default"/>
      </w:rPr>
    </w:lvl>
  </w:abstractNum>
  <w:num w:numId="1">
    <w:abstractNumId w:val="2"/>
  </w:num>
  <w:num w:numId="2">
    <w:abstractNumId w:val="4"/>
  </w:num>
  <w:num w:numId="3">
    <w:abstractNumId w:val="3"/>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savePreviewPicture/>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9D7"/>
    <w:rsid w:val="001949D7"/>
    <w:rsid w:val="001C0ACC"/>
    <w:rsid w:val="0023781D"/>
    <w:rsid w:val="0026182F"/>
    <w:rsid w:val="003262C2"/>
    <w:rsid w:val="00436B42"/>
    <w:rsid w:val="00633B4B"/>
    <w:rsid w:val="00691BB7"/>
    <w:rsid w:val="008B66E4"/>
    <w:rsid w:val="0094588E"/>
    <w:rsid w:val="00A42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27DE8B7A-3707-4D8E-9976-9C56792DB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49D7"/>
    <w:rPr>
      <w:color w:val="0563C1" w:themeColor="hyperlink"/>
      <w:u w:val="single"/>
    </w:rPr>
  </w:style>
  <w:style w:type="paragraph" w:styleId="ListParagraph">
    <w:name w:val="List Paragraph"/>
    <w:basedOn w:val="Normal"/>
    <w:uiPriority w:val="34"/>
    <w:qFormat/>
    <w:rsid w:val="0094588E"/>
    <w:pPr>
      <w:ind w:left="720"/>
      <w:contextualSpacing/>
    </w:pPr>
  </w:style>
  <w:style w:type="paragraph" w:styleId="Header">
    <w:name w:val="header"/>
    <w:basedOn w:val="Normal"/>
    <w:link w:val="HeaderChar"/>
    <w:uiPriority w:val="99"/>
    <w:unhideWhenUsed/>
    <w:rsid w:val="00A42C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2C51"/>
  </w:style>
  <w:style w:type="paragraph" w:styleId="Footer">
    <w:name w:val="footer"/>
    <w:basedOn w:val="Normal"/>
    <w:link w:val="FooterChar"/>
    <w:uiPriority w:val="99"/>
    <w:unhideWhenUsed/>
    <w:rsid w:val="00A42C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2C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489100">
      <w:bodyDiv w:val="1"/>
      <w:marLeft w:val="0"/>
      <w:marRight w:val="0"/>
      <w:marTop w:val="0"/>
      <w:marBottom w:val="0"/>
      <w:divBdr>
        <w:top w:val="none" w:sz="0" w:space="0" w:color="auto"/>
        <w:left w:val="none" w:sz="0" w:space="0" w:color="auto"/>
        <w:bottom w:val="none" w:sz="0" w:space="0" w:color="auto"/>
        <w:right w:val="none" w:sz="0" w:space="0" w:color="auto"/>
      </w:divBdr>
      <w:divsChild>
        <w:div w:id="1553152887">
          <w:marLeft w:val="0"/>
          <w:marRight w:val="0"/>
          <w:marTop w:val="0"/>
          <w:marBottom w:val="160"/>
          <w:divBdr>
            <w:top w:val="none" w:sz="0" w:space="0" w:color="auto"/>
            <w:left w:val="none" w:sz="0" w:space="0" w:color="auto"/>
            <w:bottom w:val="none" w:sz="0" w:space="0" w:color="auto"/>
            <w:right w:val="none" w:sz="0" w:space="0" w:color="auto"/>
          </w:divBdr>
        </w:div>
        <w:div w:id="1325280789">
          <w:marLeft w:val="547"/>
          <w:marRight w:val="0"/>
          <w:marTop w:val="0"/>
          <w:marBottom w:val="160"/>
          <w:divBdr>
            <w:top w:val="none" w:sz="0" w:space="0" w:color="auto"/>
            <w:left w:val="none" w:sz="0" w:space="0" w:color="auto"/>
            <w:bottom w:val="none" w:sz="0" w:space="0" w:color="auto"/>
            <w:right w:val="none" w:sz="0" w:space="0" w:color="auto"/>
          </w:divBdr>
        </w:div>
        <w:div w:id="998967433">
          <w:marLeft w:val="547"/>
          <w:marRight w:val="0"/>
          <w:marTop w:val="0"/>
          <w:marBottom w:val="160"/>
          <w:divBdr>
            <w:top w:val="none" w:sz="0" w:space="0" w:color="auto"/>
            <w:left w:val="none" w:sz="0" w:space="0" w:color="auto"/>
            <w:bottom w:val="none" w:sz="0" w:space="0" w:color="auto"/>
            <w:right w:val="none" w:sz="0" w:space="0" w:color="auto"/>
          </w:divBdr>
        </w:div>
        <w:div w:id="914167312">
          <w:marLeft w:val="547"/>
          <w:marRight w:val="0"/>
          <w:marTop w:val="0"/>
          <w:marBottom w:val="160"/>
          <w:divBdr>
            <w:top w:val="none" w:sz="0" w:space="0" w:color="auto"/>
            <w:left w:val="none" w:sz="0" w:space="0" w:color="auto"/>
            <w:bottom w:val="none" w:sz="0" w:space="0" w:color="auto"/>
            <w:right w:val="none" w:sz="0" w:space="0" w:color="auto"/>
          </w:divBdr>
        </w:div>
        <w:div w:id="391347772">
          <w:marLeft w:val="547"/>
          <w:marRight w:val="0"/>
          <w:marTop w:val="0"/>
          <w:marBottom w:val="160"/>
          <w:divBdr>
            <w:top w:val="none" w:sz="0" w:space="0" w:color="auto"/>
            <w:left w:val="none" w:sz="0" w:space="0" w:color="auto"/>
            <w:bottom w:val="none" w:sz="0" w:space="0" w:color="auto"/>
            <w:right w:val="none" w:sz="0" w:space="0" w:color="auto"/>
          </w:divBdr>
        </w:div>
        <w:div w:id="1788312331">
          <w:marLeft w:val="547"/>
          <w:marRight w:val="0"/>
          <w:marTop w:val="0"/>
          <w:marBottom w:val="160"/>
          <w:divBdr>
            <w:top w:val="none" w:sz="0" w:space="0" w:color="auto"/>
            <w:left w:val="none" w:sz="0" w:space="0" w:color="auto"/>
            <w:bottom w:val="none" w:sz="0" w:space="0" w:color="auto"/>
            <w:right w:val="none" w:sz="0" w:space="0" w:color="auto"/>
          </w:divBdr>
        </w:div>
        <w:div w:id="566843258">
          <w:marLeft w:val="547"/>
          <w:marRight w:val="0"/>
          <w:marTop w:val="0"/>
          <w:marBottom w:val="160"/>
          <w:divBdr>
            <w:top w:val="none" w:sz="0" w:space="0" w:color="auto"/>
            <w:left w:val="none" w:sz="0" w:space="0" w:color="auto"/>
            <w:bottom w:val="none" w:sz="0" w:space="0" w:color="auto"/>
            <w:right w:val="none" w:sz="0" w:space="0" w:color="auto"/>
          </w:divBdr>
        </w:div>
      </w:divsChild>
    </w:div>
    <w:div w:id="423693377">
      <w:bodyDiv w:val="1"/>
      <w:marLeft w:val="0"/>
      <w:marRight w:val="0"/>
      <w:marTop w:val="0"/>
      <w:marBottom w:val="0"/>
      <w:divBdr>
        <w:top w:val="none" w:sz="0" w:space="0" w:color="auto"/>
        <w:left w:val="none" w:sz="0" w:space="0" w:color="auto"/>
        <w:bottom w:val="none" w:sz="0" w:space="0" w:color="auto"/>
        <w:right w:val="none" w:sz="0" w:space="0" w:color="auto"/>
      </w:divBdr>
      <w:divsChild>
        <w:div w:id="271211470">
          <w:marLeft w:val="0"/>
          <w:marRight w:val="0"/>
          <w:marTop w:val="0"/>
          <w:marBottom w:val="0"/>
          <w:divBdr>
            <w:top w:val="none" w:sz="0" w:space="0" w:color="auto"/>
            <w:left w:val="none" w:sz="0" w:space="0" w:color="auto"/>
            <w:bottom w:val="none" w:sz="0" w:space="0" w:color="auto"/>
            <w:right w:val="none" w:sz="0" w:space="0" w:color="auto"/>
          </w:divBdr>
          <w:divsChild>
            <w:div w:id="1507398241">
              <w:marLeft w:val="0"/>
              <w:marRight w:val="0"/>
              <w:marTop w:val="0"/>
              <w:marBottom w:val="150"/>
              <w:divBdr>
                <w:top w:val="none" w:sz="0" w:space="0" w:color="auto"/>
                <w:left w:val="none" w:sz="0" w:space="0" w:color="auto"/>
                <w:bottom w:val="none" w:sz="0" w:space="0" w:color="auto"/>
                <w:right w:val="none" w:sz="0" w:space="0" w:color="auto"/>
              </w:divBdr>
              <w:divsChild>
                <w:div w:id="742216812">
                  <w:marLeft w:val="0"/>
                  <w:marRight w:val="0"/>
                  <w:marTop w:val="150"/>
                  <w:marBottom w:val="0"/>
                  <w:divBdr>
                    <w:top w:val="none" w:sz="0" w:space="0" w:color="auto"/>
                    <w:left w:val="none" w:sz="0" w:space="0" w:color="auto"/>
                    <w:bottom w:val="none" w:sz="0" w:space="0" w:color="auto"/>
                    <w:right w:val="none" w:sz="0" w:space="0" w:color="auto"/>
                  </w:divBdr>
                  <w:divsChild>
                    <w:div w:id="353306122">
                      <w:marLeft w:val="420"/>
                      <w:marRight w:val="0"/>
                      <w:marTop w:val="150"/>
                      <w:marBottom w:val="0"/>
                      <w:divBdr>
                        <w:top w:val="none" w:sz="0" w:space="0" w:color="auto"/>
                        <w:left w:val="none" w:sz="0" w:space="0" w:color="auto"/>
                        <w:bottom w:val="none" w:sz="0" w:space="0" w:color="auto"/>
                        <w:right w:val="none" w:sz="0" w:space="0" w:color="auto"/>
                      </w:divBdr>
                      <w:divsChild>
                        <w:div w:id="1096512581">
                          <w:marLeft w:val="150"/>
                          <w:marRight w:val="150"/>
                          <w:marTop w:val="15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l.smartcatalogiq.com/2021-2022-official/Undergraduate-and-Graduate-Catalog/Course-Descriptions/ECE-Early-Childhood-Education/500/ECE-590" TargetMode="External"/><Relationship Id="rId13" Type="http://schemas.openxmlformats.org/officeDocument/2006/relationships/hyperlink" Target="https://nl.smartcatalogiq.com/2021-2022-official/Undergraduate-and-Graduate-Catalog/Course-Descriptions/MGE-Middle-Grades-Education/500/MGE-590" TargetMode="External"/><Relationship Id="rId18" Type="http://schemas.openxmlformats.org/officeDocument/2006/relationships/hyperlink" Target="https://nl.smartcatalogiq.com/2021-2022-official/Undergraduate-and-Graduate-Catalog/Course-Descriptions/SPE-Special-Education/500/SPE-592C"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nl.smartcatalogiq.com/2021-2022-official/Undergraduate-and-Graduate-Catalog/Course-Descriptions/ECE-Early-Childhood-Education/400/%3Ca%20class='sc-courselink'%20href='/2021-2022-official/Undergraduate-and-Graduate-Catalog/Course-Descriptions/ECE-Early-Childhood-Education/400/ECE-470'%3EECE-470%3C/a%3E" TargetMode="External"/><Relationship Id="rId12" Type="http://schemas.openxmlformats.org/officeDocument/2006/relationships/hyperlink" Target="https://nl.smartcatalogiq.com/2021-2022-official/Undergraduate-and-Graduate-Catalog/Course-Descriptions/ELE-Elementary-Education/500/ELE-597" TargetMode="External"/><Relationship Id="rId17" Type="http://schemas.openxmlformats.org/officeDocument/2006/relationships/hyperlink" Target="https://nl.smartcatalogiq.com/2021-2022-official/Undergraduate-and-Graduate-Catalog/Course-Descriptions/SPE-Special-Education/500/%3Ca%20class='sc-courselink'%20href='/2021-2022-official/Undergraduate-and-Graduate-Catalog/Course-Descriptions/SPE-Special-Education/500/SPE-587'%3ESPE-587%3C/a%3E"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nl.smartcatalogiq.com/2021-2022-official/Undergraduate-and-Graduate-Catalog/Course-Descriptions/SPE-Special-Education/400/SPE-470"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l.smartcatalogiq.com/2021-2022-official/Undergraduate-and-Graduate-Catalog/Course-Descriptions/ELE-Elementary-Education/500/ELE-590"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nl.smartcatalogiq.com/2021-2022-official/Undergraduate-and-Graduate-Catalog/Course-Descriptions/SEC-Secondary-Education/500/SEC-590A" TargetMode="External"/><Relationship Id="rId23" Type="http://schemas.openxmlformats.org/officeDocument/2006/relationships/header" Target="header3.xml"/><Relationship Id="rId10" Type="http://schemas.openxmlformats.org/officeDocument/2006/relationships/hyperlink" Target="https://nl.smartcatalogiq.com/2021-2022-official/Undergraduate-and-Graduate-Catalog/Course-Descriptions/ELE-Elementary-Education/400/ELE-470B"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nl.smartcatalogiq.com/2021-2022-official/Undergraduate-and-Graduate-Catalog/Course-Descriptions/ELE-Elementary-Education/400/ELE-470A" TargetMode="External"/><Relationship Id="rId14" Type="http://schemas.openxmlformats.org/officeDocument/2006/relationships/hyperlink" Target="https://nl.smartcatalogiq.com/2021-2022-official/Undergraduate-and-Graduate-Catalog/Course-Descriptions/MGE-Middle-Grades-Education/500/MGE-597"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765</Words>
  <Characters>4361</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National Louis University</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Neer</dc:creator>
  <cp:keywords/>
  <dc:description/>
  <cp:lastModifiedBy>Stephen Neer</cp:lastModifiedBy>
  <cp:revision>2</cp:revision>
  <dcterms:created xsi:type="dcterms:W3CDTF">2022-05-19T14:27:00Z</dcterms:created>
  <dcterms:modified xsi:type="dcterms:W3CDTF">2022-05-19T14:27:00Z</dcterms:modified>
</cp:coreProperties>
</file>